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51" w:rsidRPr="002C3051" w:rsidRDefault="00F809C5" w:rsidP="00F809C5">
      <w:pPr>
        <w:pStyle w:val="NormalWeb"/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7"/>
          <w:szCs w:val="27"/>
        </w:rPr>
        <w:t>ĐÁP ÁN ĐỊA 11 (TN)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u w:val="single"/>
          <w:lang w:val="vi-VN"/>
        </w:rPr>
      </w:pPr>
      <w:r w:rsidRPr="00F809C5">
        <w:rPr>
          <w:rFonts w:eastAsia="Times New Roman" w:cs="Times New Roman"/>
          <w:sz w:val="25"/>
          <w:szCs w:val="25"/>
          <w:lang w:val="vi-VN"/>
        </w:rPr>
        <w:t xml:space="preserve"> </w:t>
      </w: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Câu 1: </w:t>
      </w:r>
      <w:r w:rsidR="00ED0D46" w:rsidRPr="00F809C5">
        <w:rPr>
          <w:rFonts w:eastAsia="Times New Roman" w:cs="Times New Roman"/>
          <w:sz w:val="25"/>
          <w:szCs w:val="25"/>
          <w:u w:val="single"/>
          <w:lang w:val="vi-VN"/>
        </w:rPr>
        <w:t>cho biết đ</w:t>
      </w:r>
      <w:r w:rsidR="00605750" w:rsidRPr="00F809C5">
        <w:rPr>
          <w:rFonts w:eastAsia="Times New Roman" w:cs="Times New Roman"/>
          <w:sz w:val="25"/>
          <w:szCs w:val="25"/>
          <w:u w:val="single"/>
        </w:rPr>
        <w:t>ặc điểm</w:t>
      </w:r>
      <w:r w:rsidR="00605750" w:rsidRPr="00F809C5">
        <w:rPr>
          <w:rFonts w:eastAsia="Times New Roman" w:cs="Times New Roman"/>
          <w:sz w:val="25"/>
          <w:szCs w:val="25"/>
          <w:u w:val="single"/>
          <w:lang w:val="vi-VN"/>
        </w:rPr>
        <w:t>, v</w:t>
      </w:r>
      <w:r w:rsidR="00605750" w:rsidRPr="00F809C5">
        <w:rPr>
          <w:rFonts w:eastAsia="Times New Roman" w:cs="Times New Roman"/>
          <w:sz w:val="25"/>
          <w:szCs w:val="25"/>
          <w:u w:val="single"/>
        </w:rPr>
        <w:t>ị trí địa lí và phạm vi lãnh thổ</w:t>
      </w:r>
      <w:r w:rsidR="00605750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 </w:t>
      </w:r>
      <w:r w:rsidR="00ED0D46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của </w:t>
      </w:r>
      <w:r w:rsidR="00605750" w:rsidRPr="00F809C5">
        <w:rPr>
          <w:rFonts w:eastAsia="Times New Roman" w:cs="Times New Roman"/>
          <w:sz w:val="25"/>
          <w:szCs w:val="25"/>
          <w:u w:val="single"/>
          <w:lang w:val="vi-VN"/>
        </w:rPr>
        <w:t>Đông Nam Á</w:t>
      </w:r>
      <w:r w:rsidR="00ED0D46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 (2đ)</w:t>
      </w:r>
    </w:p>
    <w:p w:rsidR="00570CF9" w:rsidRPr="00F809C5" w:rsidRDefault="00605750" w:rsidP="00F809C5">
      <w:pPr>
        <w:pStyle w:val="ListParagraph"/>
        <w:numPr>
          <w:ilvl w:val="0"/>
          <w:numId w:val="1"/>
        </w:numPr>
        <w:spacing w:line="252" w:lineRule="auto"/>
        <w:ind w:left="0" w:right="0"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sz w:val="25"/>
          <w:szCs w:val="25"/>
          <w:lang w:val="vi-VN"/>
        </w:rPr>
        <w:t xml:space="preserve"> </w:t>
      </w:r>
      <w:r w:rsidR="00570CF9" w:rsidRPr="00F809C5">
        <w:rPr>
          <w:rFonts w:eastAsia="Times New Roman" w:cs="Times New Roman"/>
          <w:color w:val="FF0000"/>
          <w:sz w:val="25"/>
          <w:szCs w:val="25"/>
        </w:rPr>
        <w:t>Diện tích : 4,5 triệu km</w:t>
      </w:r>
      <w:r w:rsidR="00570CF9" w:rsidRPr="00F809C5">
        <w:rPr>
          <w:rFonts w:eastAsia="Times New Roman" w:cs="Times New Roman"/>
          <w:color w:val="FF0000"/>
          <w:sz w:val="25"/>
          <w:szCs w:val="25"/>
          <w:bdr w:val="none" w:sz="0" w:space="0" w:color="auto" w:frame="1"/>
          <w:vertAlign w:val="superscript"/>
        </w:rPr>
        <w:t>2</w:t>
      </w:r>
      <w:r w:rsidR="00570CF9" w:rsidRPr="00F809C5">
        <w:rPr>
          <w:rFonts w:eastAsia="Times New Roman" w:cs="Times New Roman"/>
          <w:color w:val="FF0000"/>
          <w:sz w:val="25"/>
          <w:szCs w:val="25"/>
          <w:bdr w:val="none" w:sz="0" w:space="0" w:color="auto" w:frame="1"/>
          <w:lang w:val="vi-VN"/>
        </w:rPr>
        <w:t xml:space="preserve"> </w:t>
      </w:r>
      <w:r w:rsidR="00570CF9" w:rsidRPr="00F809C5">
        <w:rPr>
          <w:rFonts w:eastAsia="Times New Roman" w:cs="Times New Roman"/>
          <w:color w:val="FF0000"/>
          <w:sz w:val="25"/>
          <w:szCs w:val="25"/>
        </w:rPr>
        <w:t>Gồm 11 quốc gia: Việt Nam, Lào, Campuchia, Singapo, Thái Lan, Mianma, Malaysia, Indonexia, Philippin, Brunay, Đông timo.</w:t>
      </w:r>
    </w:p>
    <w:p w:rsidR="00570CF9" w:rsidRPr="00F809C5" w:rsidRDefault="00570CF9" w:rsidP="00F809C5">
      <w:pPr>
        <w:pStyle w:val="ListParagraph"/>
        <w:numPr>
          <w:ilvl w:val="0"/>
          <w:numId w:val="1"/>
        </w:numPr>
        <w:spacing w:line="252" w:lineRule="auto"/>
        <w:ind w:left="0" w:right="0"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cs="Times New Roman"/>
          <w:color w:val="FF0000"/>
          <w:sz w:val="25"/>
          <w:szCs w:val="25"/>
        </w:rPr>
        <w:t>ĐNÁ bao gồm hệ thống bán đảo, đảo, quần đảo xen giữa biển rất phức tạp</w:t>
      </w:r>
      <w:r w:rsidRPr="00F809C5">
        <w:rPr>
          <w:rFonts w:cs="Times New Roman"/>
          <w:color w:val="FF0000"/>
          <w:sz w:val="25"/>
          <w:szCs w:val="25"/>
          <w:lang w:val="vi-VN"/>
        </w:rPr>
        <w:t>.</w:t>
      </w:r>
      <w:r w:rsidRPr="00F809C5">
        <w:rPr>
          <w:rFonts w:eastAsia="Times New Roman" w:cs="Times New Roman"/>
          <w:color w:val="FF0000"/>
          <w:sz w:val="25"/>
          <w:szCs w:val="25"/>
        </w:rPr>
        <w:t>Chia 2 bộ phận: Đông Nam Á lục địa và Đông Nam Á biển đảo.</w:t>
      </w:r>
      <w:r w:rsidRPr="00F809C5">
        <w:rPr>
          <w:rFonts w:cs="Times New Roman"/>
          <w:color w:val="FF0000"/>
          <w:sz w:val="25"/>
          <w:szCs w:val="25"/>
          <w:lang w:val="vi-VN"/>
        </w:rPr>
        <w:t xml:space="preserve">=&gt; </w:t>
      </w:r>
      <w:r w:rsidRPr="00F809C5">
        <w:rPr>
          <w:rFonts w:eastAsia="Times New Roman" w:cs="Times New Roman"/>
          <w:color w:val="FF0000"/>
          <w:sz w:val="25"/>
          <w:szCs w:val="25"/>
        </w:rPr>
        <w:t>Giao lưu, phát triển tổng hợp kinh tế biển.</w:t>
      </w:r>
    </w:p>
    <w:p w:rsidR="00570CF9" w:rsidRPr="00F809C5" w:rsidRDefault="00570CF9" w:rsidP="00F809C5">
      <w:pPr>
        <w:pStyle w:val="ListParagraph"/>
        <w:numPr>
          <w:ilvl w:val="0"/>
          <w:numId w:val="1"/>
        </w:numPr>
        <w:spacing w:line="252" w:lineRule="auto"/>
        <w:ind w:left="0" w:right="0"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Nằm ở phía Đông Nam châu Á, tiếp giáp Thái Bình Dương và Ấn Độ Dương.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</w:t>
      </w:r>
      <w:r w:rsidRPr="00F809C5">
        <w:rPr>
          <w:rFonts w:eastAsia="Times New Roman" w:cs="Times New Roman"/>
          <w:color w:val="FF0000"/>
          <w:sz w:val="25"/>
          <w:szCs w:val="25"/>
        </w:rPr>
        <w:t>trong khu vực nội chí tuyến.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=&gt; </w:t>
      </w:r>
      <w:r w:rsidRPr="00F809C5">
        <w:rPr>
          <w:rFonts w:eastAsia="Times New Roman" w:cs="Times New Roman"/>
          <w:color w:val="FF0000"/>
          <w:sz w:val="25"/>
          <w:szCs w:val="25"/>
        </w:rPr>
        <w:t>Cầu nối giữa lục địa Á – Âu với lục địa Ô-xtrây-li-a.</w:t>
      </w:r>
    </w:p>
    <w:p w:rsidR="00570CF9" w:rsidRPr="00F809C5" w:rsidRDefault="00570CF9" w:rsidP="00F809C5">
      <w:pPr>
        <w:pStyle w:val="ListParagraph"/>
        <w:numPr>
          <w:ilvl w:val="0"/>
          <w:numId w:val="1"/>
        </w:numPr>
        <w:spacing w:line="252" w:lineRule="auto"/>
        <w:ind w:left="0" w:right="0"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ĐNÁ có vị trí quan trọng, nơi giao thoa của nhiều nền văn hóa lớn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( Trung Quốc, Ấn Độ)</w:t>
      </w:r>
      <w:r w:rsidRPr="00F809C5">
        <w:rPr>
          <w:rFonts w:eastAsia="Times New Roman" w:cs="Times New Roman"/>
          <w:color w:val="FF0000"/>
          <w:sz w:val="25"/>
          <w:szCs w:val="25"/>
        </w:rPr>
        <w:t>, nơi các cường quốc cạnh tranh ảnh hưởng.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=&gt;</w:t>
      </w:r>
      <w:r w:rsidRPr="00F809C5">
        <w:rPr>
          <w:rFonts w:eastAsia="Times New Roman" w:cs="Times New Roman"/>
          <w:color w:val="FF0000"/>
          <w:sz w:val="25"/>
          <w:szCs w:val="25"/>
        </w:rPr>
        <w:t xml:space="preserve"> Tạo nên nền văn hoá đa dạng.</w:t>
      </w:r>
    </w:p>
    <w:p w:rsidR="00605750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Câu 2: </w:t>
      </w:r>
      <w:r w:rsidR="00ED0D46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nêu </w:t>
      </w:r>
      <w:r w:rsidR="00605750" w:rsidRPr="00F809C5">
        <w:rPr>
          <w:rFonts w:eastAsia="Times New Roman" w:cs="Times New Roman"/>
          <w:sz w:val="25"/>
          <w:szCs w:val="25"/>
          <w:u w:val="single"/>
          <w:lang w:val="vi-VN"/>
        </w:rPr>
        <w:t>đặc điểm xã hội ĐNÁ</w:t>
      </w:r>
      <w:r w:rsidRPr="00F809C5">
        <w:rPr>
          <w:rFonts w:eastAsia="Times New Roman" w:cs="Times New Roman"/>
          <w:sz w:val="25"/>
          <w:szCs w:val="25"/>
          <w:lang w:val="vi-VN"/>
        </w:rPr>
        <w:t xml:space="preserve"> (1đ)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Đa dân tộc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, đa tôn giáo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Một số dân tộc phân bố rộng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, không theo biên giới quốc gia </w:t>
      </w:r>
      <w:r w:rsidRPr="00F809C5">
        <w:rPr>
          <w:rFonts w:eastAsia="Times New Roman" w:cs="Times New Roman"/>
          <w:color w:val="FF0000"/>
          <w:sz w:val="25"/>
          <w:szCs w:val="25"/>
        </w:rPr>
        <w:t xml:space="preserve"> =&gt; khó khăn cho quản lí, ổn định xã hội, chính trị.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– Là nơi giao thoa của nhiều nền văn hóa và tôn giáo lớn.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 xml:space="preserve">– Phong tục, tập quán, sinh hoạt văn hóa có nhiều nét tương đồng tạo điều kiện để các nước cùng hợp tác phát triển </w:t>
      </w:r>
    </w:p>
    <w:p w:rsidR="00605750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u w:val="single"/>
          <w:lang w:val="vi-VN"/>
        </w:rPr>
      </w:pP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Câu 3: cho biết sự phát triển </w:t>
      </w:r>
      <w:r w:rsidR="00ED0D46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nông nghiệp về </w:t>
      </w: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>trồng lúa nước và trồng cây công nghiệp</w:t>
      </w:r>
      <w:r w:rsidR="00605750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 ở ĐNÁ</w:t>
      </w: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 (2đ)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a</w:t>
      </w:r>
      <w:r w:rsidRPr="00F809C5">
        <w:rPr>
          <w:rFonts w:eastAsia="Times New Roman" w:cs="Times New Roman"/>
          <w:color w:val="FF0000"/>
          <w:sz w:val="25"/>
          <w:szCs w:val="25"/>
        </w:rPr>
        <w:t xml:space="preserve">. </w:t>
      </w:r>
      <w:r w:rsidRPr="00F809C5">
        <w:rPr>
          <w:rFonts w:eastAsia="Times New Roman" w:cs="Times New Roman"/>
          <w:color w:val="FF0000"/>
          <w:sz w:val="25"/>
          <w:szCs w:val="25"/>
          <w:u w:val="single"/>
        </w:rPr>
        <w:t>Trồng lúa nước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(1đ )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Có nhiều điều kiện thuận lợi: tự nhiên, KT-XH, lịch sử.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Khu vực đã cơ bản giải quyết được vấn đề lương thực.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Sản lượng lương thực ngày càng tăng nhưng tỉ lệ tăng trưởng dân số cũng tăng và diện tích gieo trồng ngày càng bị thu hẹp.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Vấn đề an ninh lương thực vẫn cần được đặt ra.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Phân bố: Thái Lan, Việt Nam, In-đô-nê-xi-a.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b</w:t>
      </w:r>
      <w:r w:rsidRPr="00F809C5">
        <w:rPr>
          <w:rFonts w:eastAsia="Times New Roman" w:cs="Times New Roman"/>
          <w:color w:val="FF0000"/>
          <w:sz w:val="25"/>
          <w:szCs w:val="25"/>
        </w:rPr>
        <w:t xml:space="preserve">. </w:t>
      </w:r>
      <w:r w:rsidRPr="00F809C5">
        <w:rPr>
          <w:rFonts w:eastAsia="Times New Roman" w:cs="Times New Roman"/>
          <w:color w:val="FF0000"/>
          <w:sz w:val="25"/>
          <w:szCs w:val="25"/>
          <w:u w:val="single"/>
        </w:rPr>
        <w:t>Trồng cây công nghiệp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(1đ)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 xml:space="preserve">- Có nhiều điều kiện thuận lợi: 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tự nhiên , kinh tế,  xã hội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 xml:space="preserve">- Cây công nghiệp đa dạng, cung cấp 75% sản 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lượng </w:t>
      </w:r>
      <w:r w:rsidRPr="00F809C5">
        <w:rPr>
          <w:rFonts w:eastAsia="Times New Roman" w:cs="Times New Roman"/>
          <w:color w:val="FF0000"/>
          <w:sz w:val="25"/>
          <w:szCs w:val="25"/>
        </w:rPr>
        <w:t>cao su, 20% sản lượng cà phê, 46% sản lượng hồ tiêu cho thế giới.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Việt Nam là nước xuất khẩu hồ tiêu nhiều nhất thế giới.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– Đông Nam Á còn là nơi cung cấp các sản phẩm cây lấy dầu, cây lấy sợi</w:t>
      </w:r>
    </w:p>
    <w:p w:rsidR="00570CF9" w:rsidRPr="00F809C5" w:rsidRDefault="00570CF9" w:rsidP="00F809C5">
      <w:pPr>
        <w:numPr>
          <w:ilvl w:val="0"/>
          <w:numId w:val="2"/>
        </w:numPr>
        <w:spacing w:before="0" w:after="0" w:line="252" w:lineRule="auto"/>
        <w:ind w:left="0" w:right="-624" w:firstLine="567"/>
        <w:contextualSpacing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 xml:space="preserve"> sản phầm cây công nghiệp chủ yếu để xuất khẩu thu ngoại tệ</w:t>
      </w:r>
    </w:p>
    <w:p w:rsidR="00570CF9" w:rsidRPr="00F809C5" w:rsidRDefault="00570CF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pl-PL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pl-PL"/>
        </w:rPr>
        <w:t>- Phân bố: Thái Lan, Ma-lai-xi-a, In-đô-nê-xi-a, Việt Nam, Phi-líp-pin.</w:t>
      </w:r>
    </w:p>
    <w:p w:rsidR="00605750" w:rsidRPr="00F809C5" w:rsidRDefault="00ED0D46" w:rsidP="00F809C5">
      <w:pPr>
        <w:spacing w:before="0" w:after="0" w:line="252" w:lineRule="auto"/>
        <w:ind w:firstLine="567"/>
        <w:jc w:val="both"/>
        <w:rPr>
          <w:sz w:val="25"/>
          <w:szCs w:val="25"/>
          <w:lang w:val="vi-VN"/>
        </w:rPr>
      </w:pP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Câu 4: cho biết thuận lợi, khó khăn và biện pháp </w:t>
      </w:r>
      <w:r w:rsidR="00E43C66"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sử dụng </w:t>
      </w:r>
      <w:r w:rsidR="00605750" w:rsidRPr="00F809C5">
        <w:rPr>
          <w:rFonts w:eastAsia="Times New Roman" w:cs="Times New Roman"/>
          <w:sz w:val="25"/>
          <w:szCs w:val="25"/>
          <w:u w:val="single"/>
        </w:rPr>
        <w:t xml:space="preserve">điều kiện tự nhiên </w:t>
      </w:r>
      <w:r w:rsidRPr="00F809C5">
        <w:rPr>
          <w:rFonts w:eastAsia="Times New Roman" w:cs="Times New Roman"/>
          <w:sz w:val="25"/>
          <w:szCs w:val="25"/>
          <w:u w:val="single"/>
          <w:lang w:val="vi-VN"/>
        </w:rPr>
        <w:t xml:space="preserve">ở </w:t>
      </w:r>
      <w:r w:rsidR="00605750" w:rsidRPr="00F809C5">
        <w:rPr>
          <w:rFonts w:eastAsia="Times New Roman" w:cs="Times New Roman"/>
          <w:sz w:val="25"/>
          <w:szCs w:val="25"/>
          <w:u w:val="single"/>
        </w:rPr>
        <w:t>Đông Nam Á</w:t>
      </w:r>
      <w:r w:rsidRPr="00F809C5">
        <w:rPr>
          <w:sz w:val="25"/>
          <w:szCs w:val="25"/>
          <w:lang w:val="vi-VN"/>
        </w:rPr>
        <w:t>( 2đ)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a. Thuận lợi: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Khí hậu nóng ẩm, hệ đất phong phú, sông ngòi dày đặc, thuận lợi phát triển nền nông nghiệp nhiệt đới.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Biển: phát triển GTVT, ngư nghiệp, du lịch...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( phát triển kinh tế biển trừ Lào)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 xml:space="preserve">- Nằm trong vành đai sinh khoáng , có nhiều khoáng sản =&gt; Phát triển công nghiệp 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Diện tích rừng xích đạo và rừng nhiệt đới ẩm lớn.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– Nhiều cảnh quan đẹp =&gt; phát triển du lịch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b. Khó khăn: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Phát triển giao thông vận tải theo hướng Đông-Tây.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- Thiên tai: động đất, núi lửa, sóng thần, bão, lũ lụt, sóng thần…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– Suy giảm rừng, xói mòn đất…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bCs/>
          <w:color w:val="FF0000"/>
          <w:sz w:val="25"/>
          <w:szCs w:val="25"/>
          <w:bdr w:val="none" w:sz="0" w:space="0" w:color="auto" w:frame="1"/>
        </w:rPr>
        <w:t>Biện pháp:</w:t>
      </w:r>
    </w:p>
    <w:p w:rsidR="00ED0D46" w:rsidRPr="00F809C5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– Khai thác và sử dụng hợp lí tài nguyên.</w:t>
      </w:r>
    </w:p>
    <w:p w:rsidR="00ED0D46" w:rsidRDefault="00ED0D46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  <w:r w:rsidRPr="00F809C5">
        <w:rPr>
          <w:rFonts w:eastAsia="Times New Roman" w:cs="Times New Roman"/>
          <w:color w:val="FF0000"/>
          <w:sz w:val="25"/>
          <w:szCs w:val="25"/>
        </w:rPr>
        <w:t>– Phòng chống, khắc phục thiên tai.</w:t>
      </w:r>
    </w:p>
    <w:p w:rsidR="00F809C5" w:rsidRDefault="00F809C5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</w:p>
    <w:p w:rsidR="00F809C5" w:rsidRDefault="00F809C5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</w:p>
    <w:p w:rsidR="00F809C5" w:rsidRPr="00F809C5" w:rsidRDefault="00F809C5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</w:rPr>
      </w:pPr>
    </w:p>
    <w:p w:rsidR="00605750" w:rsidRPr="00F809C5" w:rsidRDefault="00E43C66" w:rsidP="00F809C5">
      <w:pPr>
        <w:spacing w:before="0" w:after="0" w:line="252" w:lineRule="auto"/>
        <w:ind w:right="340"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sz w:val="25"/>
          <w:szCs w:val="25"/>
          <w:lang w:val="vi-VN"/>
        </w:rPr>
        <w:lastRenderedPageBreak/>
        <w:t>Câu 5 : cho bảng số liệu : “CƠ CẤU GIÁ TRỊ XUẤT, NHẬP KHẨU CỦA TRUNG QUỐC , giai đoạn 1985- 2004” (đơn vị %)</w:t>
      </w:r>
    </w:p>
    <w:p w:rsidR="009E1612" w:rsidRPr="00F809C5" w:rsidRDefault="009E1612" w:rsidP="00F809C5">
      <w:pPr>
        <w:spacing w:before="0" w:after="0" w:line="252" w:lineRule="auto"/>
        <w:ind w:right="340" w:firstLine="567"/>
        <w:jc w:val="both"/>
        <w:rPr>
          <w:rFonts w:eastAsia="Times New Roman" w:cs="Times New Roman"/>
          <w:sz w:val="25"/>
          <w:szCs w:val="25"/>
          <w:lang w:val="vi-VN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989"/>
        <w:gridCol w:w="1990"/>
        <w:gridCol w:w="1990"/>
      </w:tblGrid>
      <w:tr w:rsidR="00E43C66" w:rsidRPr="00F809C5" w:rsidTr="00F809C5">
        <w:tc>
          <w:tcPr>
            <w:tcW w:w="241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  <w:t>Năm</w:t>
            </w:r>
          </w:p>
        </w:tc>
        <w:tc>
          <w:tcPr>
            <w:tcW w:w="1989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  <w:t>1985</w:t>
            </w:r>
          </w:p>
        </w:tc>
        <w:tc>
          <w:tcPr>
            <w:tcW w:w="199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  <w:t>1995</w:t>
            </w:r>
          </w:p>
        </w:tc>
        <w:tc>
          <w:tcPr>
            <w:tcW w:w="199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b/>
                <w:i/>
                <w:sz w:val="25"/>
                <w:szCs w:val="25"/>
                <w:lang w:val="vi-VN"/>
              </w:rPr>
              <w:t>2004</w:t>
            </w:r>
          </w:p>
        </w:tc>
      </w:tr>
      <w:tr w:rsidR="00E43C66" w:rsidRPr="00F809C5" w:rsidTr="00F809C5">
        <w:tc>
          <w:tcPr>
            <w:tcW w:w="241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i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i/>
                <w:sz w:val="25"/>
                <w:szCs w:val="25"/>
                <w:lang w:val="vi-VN"/>
              </w:rPr>
              <w:t>Xuất khẩu</w:t>
            </w:r>
          </w:p>
        </w:tc>
        <w:tc>
          <w:tcPr>
            <w:tcW w:w="1989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sz w:val="25"/>
                <w:szCs w:val="25"/>
                <w:lang w:val="vi-VN"/>
              </w:rPr>
              <w:t>39,3</w:t>
            </w:r>
          </w:p>
        </w:tc>
        <w:tc>
          <w:tcPr>
            <w:tcW w:w="199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sz w:val="25"/>
                <w:szCs w:val="25"/>
                <w:lang w:val="vi-VN"/>
              </w:rPr>
              <w:t>53,5</w:t>
            </w:r>
          </w:p>
        </w:tc>
        <w:tc>
          <w:tcPr>
            <w:tcW w:w="199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sz w:val="25"/>
                <w:szCs w:val="25"/>
                <w:lang w:val="vi-VN"/>
              </w:rPr>
              <w:t>51,4</w:t>
            </w:r>
          </w:p>
        </w:tc>
      </w:tr>
      <w:tr w:rsidR="00E43C66" w:rsidRPr="00F809C5" w:rsidTr="00F809C5">
        <w:tc>
          <w:tcPr>
            <w:tcW w:w="241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i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i/>
                <w:sz w:val="25"/>
                <w:szCs w:val="25"/>
                <w:lang w:val="vi-VN"/>
              </w:rPr>
              <w:t>Nhập khẩu</w:t>
            </w:r>
          </w:p>
        </w:tc>
        <w:tc>
          <w:tcPr>
            <w:tcW w:w="1989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sz w:val="25"/>
                <w:szCs w:val="25"/>
                <w:lang w:val="vi-VN"/>
              </w:rPr>
              <w:t>60,7</w:t>
            </w:r>
          </w:p>
        </w:tc>
        <w:tc>
          <w:tcPr>
            <w:tcW w:w="199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sz w:val="25"/>
                <w:szCs w:val="25"/>
                <w:lang w:val="vi-VN"/>
              </w:rPr>
              <w:t>46,5</w:t>
            </w:r>
          </w:p>
        </w:tc>
        <w:tc>
          <w:tcPr>
            <w:tcW w:w="1990" w:type="dxa"/>
            <w:vAlign w:val="center"/>
          </w:tcPr>
          <w:p w:rsidR="00E43C66" w:rsidRPr="00F809C5" w:rsidRDefault="00E43C66" w:rsidP="00F809C5">
            <w:pPr>
              <w:spacing w:before="0" w:after="0" w:line="252" w:lineRule="auto"/>
              <w:ind w:right="340"/>
              <w:jc w:val="center"/>
              <w:rPr>
                <w:rFonts w:eastAsia="Times New Roman" w:cs="Times New Roman"/>
                <w:sz w:val="25"/>
                <w:szCs w:val="25"/>
                <w:lang w:val="vi-VN"/>
              </w:rPr>
            </w:pPr>
            <w:r w:rsidRPr="00F809C5">
              <w:rPr>
                <w:rFonts w:eastAsia="Times New Roman" w:cs="Times New Roman"/>
                <w:sz w:val="25"/>
                <w:szCs w:val="25"/>
                <w:lang w:val="vi-VN"/>
              </w:rPr>
              <w:t>48,6</w:t>
            </w:r>
          </w:p>
        </w:tc>
      </w:tr>
    </w:tbl>
    <w:p w:rsidR="009E1612" w:rsidRPr="00F809C5" w:rsidRDefault="009E1612" w:rsidP="00F809C5">
      <w:pPr>
        <w:pStyle w:val="ListParagraph"/>
        <w:numPr>
          <w:ilvl w:val="0"/>
          <w:numId w:val="4"/>
        </w:numPr>
        <w:spacing w:line="252" w:lineRule="auto"/>
        <w:ind w:left="0" w:right="0"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sz w:val="25"/>
          <w:szCs w:val="25"/>
          <w:lang w:val="vi-VN"/>
        </w:rPr>
        <w:t>Vẽ biểu đồ thể hiện cơ cấu giá trị xuất, nhập khẩu của Trung Quốc, giai đoạn 1985-2004 (2đ)</w:t>
      </w:r>
    </w:p>
    <w:p w:rsidR="00273D79" w:rsidRPr="00F809C5" w:rsidRDefault="009E1612" w:rsidP="00F809C5">
      <w:pPr>
        <w:pStyle w:val="ListParagraph"/>
        <w:numPr>
          <w:ilvl w:val="0"/>
          <w:numId w:val="4"/>
        </w:numPr>
        <w:spacing w:line="252" w:lineRule="auto"/>
        <w:ind w:left="0" w:right="0"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sz w:val="25"/>
          <w:szCs w:val="25"/>
          <w:lang w:val="vi-VN"/>
        </w:rPr>
        <w:t>Nhận xét sự thay đổi trong cơ cấu giá trị xuất, nhập khẩu của Trung Quốc, giai đoạn 1985-2004 (1đ)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a. </w:t>
      </w:r>
      <w:r w:rsidRPr="00F809C5">
        <w:rPr>
          <w:rFonts w:eastAsia="Times New Roman" w:cs="Times New Roman"/>
          <w:color w:val="FF0000"/>
          <w:sz w:val="25"/>
          <w:szCs w:val="25"/>
          <w:u w:val="single"/>
          <w:lang w:val="vi-VN"/>
        </w:rPr>
        <w:t>Vẽ biểu đồ tròn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: (2đ)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sai biểu đồ không cho điểm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+ 3 vòng tròn không bằng nhau trừ 0,5đ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không tên hoặc thiếu giai đoạn  trừ 0,5đ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không số liệu trừ 0,5đ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sai tỉ lệ trừ 0,5đ cho mỗi vòng tròn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không chú giải trừ 0,5đ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b. </w:t>
      </w:r>
      <w:r w:rsidRPr="00F809C5">
        <w:rPr>
          <w:rFonts w:eastAsia="Times New Roman" w:cs="Times New Roman"/>
          <w:color w:val="FF0000"/>
          <w:sz w:val="25"/>
          <w:szCs w:val="25"/>
          <w:u w:val="single"/>
          <w:lang w:val="vi-VN"/>
        </w:rPr>
        <w:t>Nhận xét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: (1đ)</w:t>
      </w:r>
    </w:p>
    <w:p w:rsidR="009E1612" w:rsidRPr="00F809C5" w:rsidRDefault="009E1612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u w:val="single"/>
          <w:lang w:val="vi-VN"/>
        </w:rPr>
        <w:t>* từ năm 1985 – 2004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:</w:t>
      </w:r>
    </w:p>
    <w:p w:rsidR="00273D79" w:rsidRPr="00F809C5" w:rsidRDefault="00273D7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tỉ lệ giá trị xuất khẩu của trung quốc tăng không liên tục (39,3%-51,4%)</w:t>
      </w:r>
    </w:p>
    <w:p w:rsidR="00273D79" w:rsidRPr="00F809C5" w:rsidRDefault="00273D7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+ tỉ lệ giá trị nhập khẩu của trung quốc giãm không liên tục (60,7%- 48,6%)</w:t>
      </w:r>
    </w:p>
    <w:p w:rsidR="00273D79" w:rsidRPr="00F809C5" w:rsidRDefault="00273D79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b/>
          <w:color w:val="FF0000"/>
          <w:sz w:val="25"/>
          <w:szCs w:val="25"/>
          <w:lang w:val="vi-VN"/>
        </w:rPr>
        <w:t>=&gt;</w:t>
      </w:r>
      <w:r w:rsidRPr="00F809C5">
        <w:rPr>
          <w:rFonts w:eastAsia="Times New Roman" w:cs="Times New Roman"/>
          <w:sz w:val="25"/>
          <w:szCs w:val="25"/>
          <w:lang w:val="vi-VN"/>
        </w:rPr>
        <w:t xml:space="preserve"> </w:t>
      </w:r>
      <w:r w:rsidRPr="00F809C5">
        <w:rPr>
          <w:rFonts w:eastAsia="Times New Roman" w:cs="Times New Roman"/>
          <w:color w:val="FF0000"/>
          <w:sz w:val="25"/>
          <w:szCs w:val="25"/>
          <w:lang w:val="vi-VN"/>
        </w:rPr>
        <w:t>cơ cấu giá trị xuất, nhập khẩu của</w:t>
      </w:r>
      <w:r w:rsidR="00117CDA" w:rsidRPr="00F809C5">
        <w:rPr>
          <w:rFonts w:eastAsia="Times New Roman" w:cs="Times New Roman"/>
          <w:color w:val="FF0000"/>
          <w:sz w:val="25"/>
          <w:szCs w:val="25"/>
          <w:lang w:val="vi-VN"/>
        </w:rPr>
        <w:t xml:space="preserve"> Trung Quốc có sự thay đổi, chuyển từ nhập khẩu sang xuất khẩu</w:t>
      </w:r>
    </w:p>
    <w:p w:rsidR="00117CDA" w:rsidRPr="00F809C5" w:rsidRDefault="00117CDA" w:rsidP="00F809C5">
      <w:pPr>
        <w:spacing w:before="0" w:after="0" w:line="252" w:lineRule="auto"/>
        <w:ind w:firstLine="567"/>
        <w:jc w:val="both"/>
        <w:rPr>
          <w:rFonts w:eastAsia="Times New Roman" w:cs="Times New Roman"/>
          <w:color w:val="FF0000"/>
          <w:sz w:val="25"/>
          <w:szCs w:val="25"/>
          <w:lang w:val="vi-VN"/>
        </w:rPr>
      </w:pPr>
      <w:r w:rsidRPr="00F809C5">
        <w:rPr>
          <w:rFonts w:eastAsia="Times New Roman" w:cs="Times New Roman"/>
          <w:b/>
          <w:color w:val="FF0000"/>
          <w:sz w:val="25"/>
          <w:szCs w:val="25"/>
          <w:lang w:val="vi-VN"/>
        </w:rPr>
        <w:t xml:space="preserve">+ </w:t>
      </w:r>
      <w:r w:rsidR="00EF039F" w:rsidRPr="00F809C5">
        <w:rPr>
          <w:rFonts w:eastAsia="Times New Roman" w:cs="Times New Roman"/>
          <w:color w:val="FF0000"/>
          <w:sz w:val="25"/>
          <w:szCs w:val="25"/>
          <w:lang w:val="vi-VN"/>
        </w:rPr>
        <w:t>1985 xuất khẩu chiếm trên 50%, 1995 &amp; 2004 nhập khẩu chiếm trên 50%</w:t>
      </w:r>
    </w:p>
    <w:p w:rsidR="00273D79" w:rsidRPr="00117CDA" w:rsidRDefault="00273D79" w:rsidP="00273D79">
      <w:pPr>
        <w:spacing w:line="288" w:lineRule="auto"/>
        <w:ind w:left="-360"/>
        <w:rPr>
          <w:rFonts w:eastAsia="Times New Roman" w:cs="Times New Roman"/>
          <w:b/>
          <w:color w:val="FF0000"/>
          <w:szCs w:val="28"/>
          <w:lang w:val="vi-VN"/>
        </w:rPr>
      </w:pPr>
    </w:p>
    <w:p w:rsidR="009E1612" w:rsidRPr="00273D79" w:rsidRDefault="009E1612" w:rsidP="00273D79">
      <w:pPr>
        <w:spacing w:line="288" w:lineRule="auto"/>
        <w:ind w:left="-360"/>
        <w:rPr>
          <w:rFonts w:eastAsia="Times New Roman" w:cs="Times New Roman"/>
          <w:szCs w:val="28"/>
          <w:lang w:val="vi-VN"/>
        </w:rPr>
      </w:pPr>
    </w:p>
    <w:p w:rsidR="009E1612" w:rsidRPr="00273D79" w:rsidRDefault="009E1612" w:rsidP="00273D79">
      <w:pPr>
        <w:spacing w:line="288" w:lineRule="auto"/>
        <w:ind w:left="-360"/>
        <w:rPr>
          <w:rFonts w:eastAsia="Times New Roman" w:cs="Times New Roman"/>
          <w:szCs w:val="28"/>
          <w:lang w:val="vi-VN"/>
        </w:rPr>
      </w:pPr>
    </w:p>
    <w:p w:rsidR="00E43C66" w:rsidRPr="002A7538" w:rsidRDefault="00E43C66" w:rsidP="00273D79">
      <w:pPr>
        <w:spacing w:line="288" w:lineRule="auto"/>
        <w:ind w:right="340"/>
        <w:rPr>
          <w:rFonts w:eastAsia="Times New Roman" w:cs="Times New Roman"/>
          <w:szCs w:val="24"/>
          <w:lang w:val="vi-VN"/>
        </w:rPr>
      </w:pPr>
    </w:p>
    <w:p w:rsidR="00FB3D61" w:rsidRDefault="00FB3D61"/>
    <w:sectPr w:rsidR="00FB3D61" w:rsidSect="00F809C5">
      <w:pgSz w:w="11907" w:h="16839" w:code="9"/>
      <w:pgMar w:top="567" w:right="567" w:bottom="426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52E"/>
    <w:multiLevelType w:val="hybridMultilevel"/>
    <w:tmpl w:val="EC7030F4"/>
    <w:lvl w:ilvl="0" w:tplc="975E59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z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6C78"/>
    <w:multiLevelType w:val="hybridMultilevel"/>
    <w:tmpl w:val="A2704CAE"/>
    <w:lvl w:ilvl="0" w:tplc="7548B31A">
      <w:start w:val="1"/>
      <w:numFmt w:val="bullet"/>
      <w:lvlText w:val=""/>
      <w:lvlJc w:val="left"/>
      <w:pPr>
        <w:ind w:left="19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2">
    <w:nsid w:val="18E077B2"/>
    <w:multiLevelType w:val="hybridMultilevel"/>
    <w:tmpl w:val="012EC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171D"/>
    <w:multiLevelType w:val="hybridMultilevel"/>
    <w:tmpl w:val="012EC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2FDF"/>
    <w:multiLevelType w:val="hybridMultilevel"/>
    <w:tmpl w:val="012EC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2A47"/>
    <w:multiLevelType w:val="hybridMultilevel"/>
    <w:tmpl w:val="012EC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0"/>
    <w:rsid w:val="00117CDA"/>
    <w:rsid w:val="002012E5"/>
    <w:rsid w:val="00252EC0"/>
    <w:rsid w:val="00273D79"/>
    <w:rsid w:val="002C3051"/>
    <w:rsid w:val="0050309F"/>
    <w:rsid w:val="00570CF9"/>
    <w:rsid w:val="00605750"/>
    <w:rsid w:val="008E4D4D"/>
    <w:rsid w:val="009E1612"/>
    <w:rsid w:val="00DB007F"/>
    <w:rsid w:val="00E43C66"/>
    <w:rsid w:val="00E651A5"/>
    <w:rsid w:val="00ED0D46"/>
    <w:rsid w:val="00EF039F"/>
    <w:rsid w:val="00F37CDF"/>
    <w:rsid w:val="00F809C5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50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9"/>
    <w:pPr>
      <w:spacing w:before="0" w:after="0" w:line="264" w:lineRule="auto"/>
      <w:ind w:left="720" w:right="-624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E4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3051"/>
    <w:pPr>
      <w:spacing w:before="0" w:after="200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0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50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9"/>
    <w:pPr>
      <w:spacing w:before="0" w:after="0" w:line="264" w:lineRule="auto"/>
      <w:ind w:left="720" w:right="-624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E4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3051"/>
    <w:pPr>
      <w:spacing w:before="0" w:after="200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0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Trinh</dc:creator>
  <cp:lastModifiedBy>thanhloc</cp:lastModifiedBy>
  <cp:revision>2</cp:revision>
  <cp:lastPrinted>2021-04-27T09:03:00Z</cp:lastPrinted>
  <dcterms:created xsi:type="dcterms:W3CDTF">2021-04-27T09:04:00Z</dcterms:created>
  <dcterms:modified xsi:type="dcterms:W3CDTF">2021-04-27T09:04:00Z</dcterms:modified>
</cp:coreProperties>
</file>